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7" w:type="dxa"/>
        <w:tblInd w:w="-709" w:type="dxa"/>
        <w:tblLook w:val="04A0" w:firstRow="1" w:lastRow="0" w:firstColumn="1" w:lastColumn="0" w:noHBand="0" w:noVBand="1"/>
      </w:tblPr>
      <w:tblGrid>
        <w:gridCol w:w="5671"/>
        <w:gridCol w:w="1655"/>
        <w:gridCol w:w="1547"/>
        <w:gridCol w:w="1418"/>
        <w:gridCol w:w="236"/>
      </w:tblGrid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Информация об исполнении бюджета</w:t>
            </w: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внутригородского муниципального образования Санкт-Петербурга</w:t>
            </w: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муниципальный округ № 15 </w:t>
            </w: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по состоянию на 01.05.2018 г.</w:t>
            </w: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Доходы</w:t>
            </w:r>
          </w:p>
        </w:tc>
      </w:tr>
      <w:tr w:rsidR="00E66995" w:rsidRPr="005A6AD6" w:rsidTr="005A6AD6">
        <w:trPr>
          <w:gridAfter w:val="1"/>
          <w:wAfter w:w="236" w:type="dxa"/>
          <w:trHeight w:val="180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995" w:rsidRPr="005A6AD6" w:rsidTr="005A6AD6">
        <w:trPr>
          <w:gridAfter w:val="1"/>
          <w:wAfter w:w="236" w:type="dxa"/>
          <w:trHeight w:val="1185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Утверждено по бюджету, тыс. руб.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Исполнено на отчетную дату, 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% исполнения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Налоги на совокупный доход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105 098,1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44 919,8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42,7</w:t>
            </w:r>
          </w:p>
        </w:tc>
      </w:tr>
      <w:tr w:rsidR="00E66995" w:rsidRPr="005A6AD6" w:rsidTr="005A6AD6">
        <w:trPr>
          <w:gridAfter w:val="1"/>
          <w:wAfter w:w="236" w:type="dxa"/>
          <w:trHeight w:val="51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1 000,0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28,5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Штрафы, санкции, возмещение ущерба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1 130,0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461,3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40,8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Прочие неналоговые доходы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50,0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42,2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Безвозмездные поступления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17 796,2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6 056,1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34,0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ИТОГО: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125 074,3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51 743,1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41,4</w:t>
            </w:r>
          </w:p>
        </w:tc>
      </w:tr>
      <w:tr w:rsidR="00E66995" w:rsidRPr="005A6AD6" w:rsidTr="005A6AD6">
        <w:trPr>
          <w:gridAfter w:val="1"/>
          <w:wAfter w:w="236" w:type="dxa"/>
          <w:trHeight w:val="165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995" w:rsidRPr="005A6AD6" w:rsidTr="005A6AD6">
        <w:trPr>
          <w:gridAfter w:val="1"/>
          <w:wAfter w:w="236" w:type="dxa"/>
          <w:trHeight w:val="300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Расходы</w:t>
            </w:r>
          </w:p>
        </w:tc>
      </w:tr>
      <w:tr w:rsidR="00E66995" w:rsidRPr="005A6AD6" w:rsidTr="005A6AD6">
        <w:trPr>
          <w:gridAfter w:val="1"/>
          <w:wAfter w:w="236" w:type="dxa"/>
          <w:trHeight w:val="90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  <w:t>Наименование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  <w:t>Утверждено по бюджету, тыс. руб.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  <w:t>Исполнено на отчетную дату, 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  <w:t>% исполнения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Общегосударственные вопросы (0100)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26 992,3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7 554,2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28,0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238,8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0,0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Жилищно-коммунальное хозяйство (0500)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59 218,8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259,0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0,4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Образование (0700)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5 516,6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984,7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17,8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Культура, кинематография (0800)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13 888,7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3 718,3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26,8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Социальная политика (1000)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17 213,1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4 827,7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28,0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Физическая культура и спорт (1100)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1 070,0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0,0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Средства массовой информации (1200)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936,0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125,3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13,4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ИТОГО: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125 074,3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17 469,2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14,0</w:t>
            </w: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Превышение доходов над расходами (дефицит (-)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34 273,9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 </w:t>
            </w:r>
          </w:p>
        </w:tc>
      </w:tr>
      <w:tr w:rsidR="00E66995" w:rsidRPr="005A6AD6" w:rsidTr="005A6AD6">
        <w:trPr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/профицит (+))</w:t>
            </w: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</w:tr>
    </w:tbl>
    <w:p w:rsidR="00AB6A91" w:rsidRDefault="00AB6A91" w:rsidP="005A6AD6">
      <w:pPr>
        <w:spacing w:after="0" w:line="240" w:lineRule="auto"/>
      </w:pPr>
    </w:p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305B24"/>
    <w:rsid w:val="003635A3"/>
    <w:rsid w:val="005A6AD6"/>
    <w:rsid w:val="00704A05"/>
    <w:rsid w:val="00745F09"/>
    <w:rsid w:val="008D6731"/>
    <w:rsid w:val="009253C5"/>
    <w:rsid w:val="00AB6A91"/>
    <w:rsid w:val="00DC36B6"/>
    <w:rsid w:val="00E4611B"/>
    <w:rsid w:val="00E610B0"/>
    <w:rsid w:val="00E66995"/>
    <w:rsid w:val="00F00C66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54E6-07D8-4211-8456-C0F2797AB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1083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2018-06-01T12:23:00Z</cp:lastPrinted>
  <dcterms:created xsi:type="dcterms:W3CDTF">2018-06-04T13:01:00Z</dcterms:created>
  <dcterms:modified xsi:type="dcterms:W3CDTF">2018-06-04T13:01:00Z</dcterms:modified>
</cp:coreProperties>
</file>